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47FFB4" w14:textId="35B0D7FC" w:rsidR="00662408" w:rsidRDefault="00790DF7">
      <w:pPr>
        <w:pStyle w:val="Corpsdetexte"/>
        <w:ind w:left="100"/>
        <w:rPr>
          <w:rFonts w:ascii="Times New Roman"/>
          <w:b w:val="0"/>
          <w:sz w:val="20"/>
        </w:rPr>
      </w:pPr>
      <w:bookmarkStart w:id="0" w:name="_GoBack"/>
      <w:bookmarkEnd w:id="0"/>
      <w:r>
        <w:rPr>
          <w:rFonts w:ascii="Times New Roman"/>
          <w:b w:val="0"/>
          <w:noProof/>
          <w:sz w:val="20"/>
          <w:lang w:val="fr-CA" w:eastAsia="fr-CA"/>
        </w:rPr>
        <mc:AlternateContent>
          <mc:Choice Requires="wps">
            <w:drawing>
              <wp:inline distT="0" distB="0" distL="0" distR="0" wp14:anchorId="5C47FFE8" wp14:editId="6913BFC5">
                <wp:extent cx="5635625" cy="381000"/>
                <wp:effectExtent l="9525" t="9525" r="12700" b="9525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5625" cy="381000"/>
                        </a:xfrm>
                        <a:prstGeom prst="rect">
                          <a:avLst/>
                        </a:prstGeom>
                        <a:solidFill>
                          <a:srgbClr val="BCD5ED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47FFEA" w14:textId="77777777" w:rsidR="00662408" w:rsidRDefault="00790DF7">
                            <w:pPr>
                              <w:pStyle w:val="Corpsdetexte"/>
                              <w:spacing w:before="20"/>
                              <w:ind w:left="262" w:right="262"/>
                              <w:jc w:val="center"/>
                            </w:pPr>
                            <w:r>
                              <w:t>Fiche 8</w:t>
                            </w:r>
                          </w:p>
                          <w:p w14:paraId="5C47FFEB" w14:textId="77777777" w:rsidR="00662408" w:rsidRDefault="00790DF7">
                            <w:pPr>
                              <w:pStyle w:val="Corpsdetexte"/>
                              <w:ind w:left="262" w:right="262"/>
                              <w:jc w:val="center"/>
                            </w:pPr>
                            <w:r>
                              <w:t>Modèle de fiche permettant au résident d’avoir les informations utiles pour porter plainte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C47FF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43.75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" fillcolor="#bcd5ed" strokeweight=".48pt">
                <v:textbox inset="0,0,0,0">
                  <w:txbxContent>
                    <w:p w14:paraId="5C47FFEA" w14:textId="77777777" w:rsidR="00662408" w:rsidRDefault="00790DF7">
                      <w:pPr>
                        <w:pStyle w:val="Corpsdetexte"/>
                        <w:spacing w:before="20"/>
                        <w:ind w:left="262" w:right="262"/>
                        <w:jc w:val="center"/>
                      </w:pPr>
                      <w:r>
                        <w:t>Fiche 8</w:t>
                      </w:r>
                    </w:p>
                    <w:p w14:paraId="5C47FFEB" w14:textId="77777777" w:rsidR="00662408" w:rsidRDefault="00790DF7">
                      <w:pPr>
                        <w:pStyle w:val="Corpsdetexte"/>
                        <w:ind w:left="262" w:right="262"/>
                        <w:jc w:val="center"/>
                      </w:pPr>
                      <w:r>
                        <w:t>Modèle de fiche permettant au résident d’avoir les informations utiles pour porter plainte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C47FFB5" w14:textId="77777777" w:rsidR="00662408" w:rsidRDefault="00662408">
      <w:pPr>
        <w:pStyle w:val="Corpsdetexte"/>
        <w:spacing w:before="6"/>
        <w:rPr>
          <w:rFonts w:ascii="Times New Roman"/>
          <w:b w:val="0"/>
          <w:sz w:val="7"/>
        </w:r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6"/>
      </w:tblGrid>
      <w:tr w:rsidR="00662408" w14:paraId="5C47FFB9" w14:textId="77777777">
        <w:trPr>
          <w:trHeight w:val="2603"/>
        </w:trPr>
        <w:tc>
          <w:tcPr>
            <w:tcW w:w="8786" w:type="dxa"/>
          </w:tcPr>
          <w:p w14:paraId="5C47FFB6" w14:textId="77777777" w:rsidR="00662408" w:rsidRDefault="00790DF7">
            <w:pPr>
              <w:pStyle w:val="TableParagraph"/>
              <w:spacing w:before="39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Le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commissaire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aux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plaintes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qualité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comme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mandat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recevoir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d’examiner les plaintes concernant les soins et les services offerts par la RPA ou qu’il aurait dû recevoir de la RPA. Il traite aus</w:t>
            </w:r>
            <w:r>
              <w:rPr>
                <w:sz w:val="24"/>
              </w:rPr>
              <w:t>si les situations de maltraitance. Les services du commissariat sont gratuits et confidentiels.</w:t>
            </w:r>
          </w:p>
          <w:p w14:paraId="5C47FFB7" w14:textId="77777777" w:rsidR="00662408" w:rsidRDefault="00790DF7">
            <w:pPr>
              <w:pStyle w:val="TableParagraph"/>
              <w:spacing w:before="122"/>
              <w:ind w:right="113"/>
              <w:jc w:val="both"/>
              <w:rPr>
                <w:sz w:val="24"/>
              </w:rPr>
            </w:pPr>
            <w:r>
              <w:rPr>
                <w:sz w:val="24"/>
              </w:rPr>
              <w:t>Il est interdit d’exercer des mesures de représailles contre une personne qui, de bonne foi, fait un signalement ou collabore à l’examen d’un signalement ou d’u</w:t>
            </w:r>
            <w:r>
              <w:rPr>
                <w:sz w:val="24"/>
              </w:rPr>
              <w:t>ne plainte.</w:t>
            </w:r>
          </w:p>
          <w:p w14:paraId="5C47FFB8" w14:textId="77777777" w:rsidR="00662408" w:rsidRDefault="00790DF7">
            <w:pPr>
              <w:pStyle w:val="TableParagraph"/>
              <w:spacing w:before="119"/>
              <w:ind w:right="109"/>
              <w:jc w:val="both"/>
              <w:rPr>
                <w:sz w:val="24"/>
              </w:rPr>
            </w:pPr>
            <w:r>
              <w:rPr>
                <w:sz w:val="24"/>
              </w:rPr>
              <w:t>Il est également interdit de menacer une personne de mesures de représailles pour qu’elle s’abstienne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faire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signalement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collaborer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l’examen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d’un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signalement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d’une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plainte.</w:t>
            </w:r>
          </w:p>
        </w:tc>
      </w:tr>
      <w:tr w:rsidR="00662408" w14:paraId="5C47FFC0" w14:textId="77777777">
        <w:trPr>
          <w:trHeight w:val="2527"/>
        </w:trPr>
        <w:tc>
          <w:tcPr>
            <w:tcW w:w="8786" w:type="dxa"/>
          </w:tcPr>
          <w:p w14:paraId="5C47FFBA" w14:textId="77777777" w:rsidR="00662408" w:rsidRDefault="00790DF7">
            <w:pPr>
              <w:pStyle w:val="TableParagraph"/>
              <w:spacing w:before="60"/>
              <w:rPr>
                <w:b/>
                <w:sz w:val="24"/>
              </w:rPr>
            </w:pPr>
            <w:r>
              <w:rPr>
                <w:b/>
                <w:sz w:val="24"/>
              </w:rPr>
              <w:t>Voici les coordonnées pour joindre le commissaire aux plaintes et à la qualité des services</w:t>
            </w:r>
          </w:p>
          <w:p w14:paraId="5C47FFBB" w14:textId="77777777" w:rsidR="00662408" w:rsidRDefault="00662408">
            <w:pPr>
              <w:pStyle w:val="TableParagraph"/>
              <w:spacing w:before="6"/>
              <w:ind w:left="0"/>
              <w:rPr>
                <w:rFonts w:ascii="Times New Roman"/>
                <w:sz w:val="34"/>
              </w:rPr>
            </w:pPr>
          </w:p>
          <w:p w14:paraId="5C47FFBC" w14:textId="77777777" w:rsidR="00662408" w:rsidRDefault="00790DF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Commissaire aux plaintes et à la qualité des services :</w:t>
            </w:r>
          </w:p>
          <w:p w14:paraId="5C47FFBD" w14:textId="77777777" w:rsidR="00662408" w:rsidRDefault="00790DF7">
            <w:pPr>
              <w:pStyle w:val="TableParagraph"/>
              <w:tabs>
                <w:tab w:val="left" w:pos="4951"/>
              </w:tabs>
              <w:spacing w:before="118"/>
              <w:rPr>
                <w:sz w:val="24"/>
              </w:rPr>
            </w:pPr>
            <w:r>
              <w:rPr>
                <w:sz w:val="24"/>
              </w:rPr>
              <w:t>Nom :</w:t>
            </w:r>
            <w:r>
              <w:rPr>
                <w:sz w:val="24"/>
              </w:rPr>
              <w:tab/>
              <w:t>Téléphone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  <w:p w14:paraId="5C47FFBE" w14:textId="77777777" w:rsidR="00662408" w:rsidRDefault="00662408">
            <w:pPr>
              <w:pStyle w:val="TableParagraph"/>
              <w:spacing w:before="9"/>
              <w:ind w:left="0"/>
              <w:rPr>
                <w:rFonts w:ascii="Times New Roman"/>
                <w:sz w:val="39"/>
              </w:rPr>
            </w:pPr>
          </w:p>
          <w:p w14:paraId="5C47FFBF" w14:textId="77777777" w:rsidR="00662408" w:rsidRDefault="00790D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Courriel :</w:t>
            </w:r>
          </w:p>
        </w:tc>
      </w:tr>
      <w:tr w:rsidR="00662408" w14:paraId="5C47FFD1" w14:textId="77777777">
        <w:trPr>
          <w:trHeight w:val="7584"/>
        </w:trPr>
        <w:tc>
          <w:tcPr>
            <w:tcW w:w="8786" w:type="dxa"/>
          </w:tcPr>
          <w:p w14:paraId="5C47FFC1" w14:textId="77777777" w:rsidR="00662408" w:rsidRDefault="00662408">
            <w:pPr>
              <w:pStyle w:val="TableParagraph"/>
              <w:spacing w:before="5"/>
              <w:ind w:left="0"/>
              <w:rPr>
                <w:rFonts w:ascii="Times New Roman"/>
                <w:sz w:val="34"/>
              </w:rPr>
            </w:pPr>
          </w:p>
          <w:p w14:paraId="5C47FFC2" w14:textId="77777777" w:rsidR="00662408" w:rsidRDefault="00790D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Vous pouvez également être assisté et accompagné par :</w:t>
            </w:r>
          </w:p>
          <w:p w14:paraId="5C47FFC3" w14:textId="77777777" w:rsidR="00662408" w:rsidRDefault="00790DF7">
            <w:pPr>
              <w:pStyle w:val="TableParagraph"/>
              <w:numPr>
                <w:ilvl w:val="0"/>
                <w:numId w:val="1"/>
              </w:numPr>
              <w:tabs>
                <w:tab w:val="left" w:pos="834"/>
                <w:tab w:val="left" w:pos="835"/>
              </w:tabs>
              <w:spacing w:before="1"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un parent, un ami ou quelqu’un en qui vous avez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confiance;</w:t>
            </w:r>
          </w:p>
          <w:p w14:paraId="5C47FFC4" w14:textId="77777777" w:rsidR="00662408" w:rsidRDefault="00790DF7">
            <w:pPr>
              <w:pStyle w:val="TableParagraph"/>
              <w:numPr>
                <w:ilvl w:val="0"/>
                <w:numId w:val="1"/>
              </w:numPr>
              <w:tabs>
                <w:tab w:val="left" w:pos="834"/>
                <w:tab w:val="left" w:pos="835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le  Centre d’assistance et d’accompagnement aux plaintes de  votre  région  (CAAP)  au  1 877 767-2227 (sans frais) ou en visitant le</w:t>
            </w:r>
            <w:r>
              <w:rPr>
                <w:color w:val="0000FF"/>
                <w:spacing w:val="-5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www.fcaap.ca</w:t>
            </w:r>
            <w:r>
              <w:rPr>
                <w:sz w:val="24"/>
              </w:rPr>
              <w:t>;</w:t>
            </w:r>
          </w:p>
          <w:p w14:paraId="5C47FFC5" w14:textId="77777777" w:rsidR="00662408" w:rsidRDefault="00790DF7">
            <w:pPr>
              <w:pStyle w:val="TableParagraph"/>
              <w:numPr>
                <w:ilvl w:val="0"/>
                <w:numId w:val="1"/>
              </w:numPr>
              <w:tabs>
                <w:tab w:val="left" w:pos="834"/>
                <w:tab w:val="left" w:pos="83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la ligne Aide Abus Aînés au 1 888 489-2287 (servi</w:t>
            </w:r>
            <w:r>
              <w:rPr>
                <w:sz w:val="24"/>
              </w:rPr>
              <w:t>ce gratuit et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confidentiel).</w:t>
            </w:r>
          </w:p>
          <w:p w14:paraId="5C47FFC6" w14:textId="77777777" w:rsidR="00662408" w:rsidRDefault="00662408">
            <w:pPr>
              <w:pStyle w:val="TableParagraph"/>
              <w:spacing w:before="11"/>
              <w:ind w:left="0"/>
              <w:rPr>
                <w:rFonts w:ascii="Times New Roman"/>
                <w:sz w:val="33"/>
              </w:rPr>
            </w:pPr>
          </w:p>
          <w:p w14:paraId="5C47FFC7" w14:textId="77777777" w:rsidR="00662408" w:rsidRDefault="00790DF7">
            <w:pPr>
              <w:pStyle w:val="TableParagraph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En cas d’insatisfaction : une étape de plus pour vous aider</w:t>
            </w:r>
          </w:p>
          <w:p w14:paraId="5C47FFC8" w14:textId="77777777" w:rsidR="00662408" w:rsidRDefault="00790DF7">
            <w:pPr>
              <w:pStyle w:val="TableParagraph"/>
              <w:spacing w:before="121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Tout résident ou, le cas échéant, son représentant qui éprouve une insatisfaction au sujet des conclusions que le commissaire aux plaintes et à la qualité des service</w:t>
            </w:r>
            <w:r>
              <w:rPr>
                <w:sz w:val="24"/>
              </w:rPr>
              <w:t>s lui a communiquées à la suite de l’examen d’une plainte peut s’adresser au Protecteur du citoyen, dont l’adresse apparaît ci-dessous :</w:t>
            </w:r>
          </w:p>
          <w:p w14:paraId="5C47FFC9" w14:textId="77777777" w:rsidR="00662408" w:rsidRDefault="00662408">
            <w:pPr>
              <w:pStyle w:val="TableParagraph"/>
              <w:spacing w:before="5"/>
              <w:ind w:left="0"/>
              <w:rPr>
                <w:rFonts w:ascii="Times New Roman"/>
                <w:sz w:val="34"/>
              </w:rPr>
            </w:pPr>
          </w:p>
          <w:p w14:paraId="5C47FFCA" w14:textId="77777777" w:rsidR="00662408" w:rsidRDefault="00790D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Bureau de Québec :</w:t>
            </w:r>
          </w:p>
          <w:p w14:paraId="5C47FFCB" w14:textId="77777777" w:rsidR="00662408" w:rsidRDefault="00790DF7">
            <w:pPr>
              <w:pStyle w:val="TableParagraph"/>
              <w:spacing w:before="58" w:line="292" w:lineRule="auto"/>
              <w:ind w:right="5938"/>
              <w:rPr>
                <w:sz w:val="24"/>
              </w:rPr>
            </w:pPr>
            <w:r>
              <w:rPr>
                <w:sz w:val="24"/>
              </w:rPr>
              <w:t>800, Place d’Youville 19</w:t>
            </w:r>
            <w:r>
              <w:rPr>
                <w:position w:val="6"/>
                <w:sz w:val="16"/>
              </w:rPr>
              <w:t xml:space="preserve">e </w:t>
            </w:r>
            <w:r>
              <w:rPr>
                <w:sz w:val="24"/>
              </w:rPr>
              <w:t>étage Québec (Québec) G1R 3P4</w:t>
            </w:r>
          </w:p>
          <w:p w14:paraId="5C47FFCC" w14:textId="77777777" w:rsidR="00662408" w:rsidRDefault="00790DF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Téléphone : 418 643-8688 ou sans frais 1 800 463-5070</w:t>
            </w:r>
          </w:p>
          <w:p w14:paraId="5C47FFCD" w14:textId="77777777" w:rsidR="00662408" w:rsidRDefault="00662408">
            <w:pPr>
              <w:pStyle w:val="TableParagraph"/>
              <w:spacing w:before="3"/>
              <w:ind w:left="0"/>
              <w:rPr>
                <w:rFonts w:ascii="Times New Roman"/>
                <w:sz w:val="34"/>
              </w:rPr>
            </w:pPr>
          </w:p>
          <w:p w14:paraId="5C47FFCE" w14:textId="77777777" w:rsidR="00662408" w:rsidRDefault="00790DF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Bureau de Montréal :</w:t>
            </w:r>
          </w:p>
          <w:p w14:paraId="5C47FFCF" w14:textId="77777777" w:rsidR="00662408" w:rsidRDefault="00790DF7">
            <w:pPr>
              <w:pStyle w:val="TableParagraph"/>
              <w:spacing w:before="60" w:line="292" w:lineRule="auto"/>
              <w:ind w:right="4242"/>
              <w:rPr>
                <w:sz w:val="24"/>
              </w:rPr>
            </w:pPr>
            <w:r>
              <w:rPr>
                <w:sz w:val="24"/>
              </w:rPr>
              <w:t>1080, Côte du Beaver Hall,10</w:t>
            </w:r>
            <w:r>
              <w:rPr>
                <w:position w:val="6"/>
                <w:sz w:val="16"/>
              </w:rPr>
              <w:t xml:space="preserve">e </w:t>
            </w:r>
            <w:r>
              <w:rPr>
                <w:sz w:val="24"/>
              </w:rPr>
              <w:t>étage, bureau 1000 Montréal (Québec) H2Z 1S8</w:t>
            </w:r>
          </w:p>
          <w:p w14:paraId="5C47FFD0" w14:textId="77777777" w:rsidR="00662408" w:rsidRDefault="00790DF7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Téléphone : 514 873-3205 ou sans frais 1 877 658-2625</w:t>
            </w:r>
          </w:p>
        </w:tc>
      </w:tr>
    </w:tbl>
    <w:p w14:paraId="5C47FFD2" w14:textId="77777777" w:rsidR="00662408" w:rsidRDefault="00662408">
      <w:pPr>
        <w:pStyle w:val="Corpsdetexte"/>
        <w:rPr>
          <w:rFonts w:ascii="Times New Roman"/>
          <w:b w:val="0"/>
          <w:sz w:val="20"/>
        </w:rPr>
      </w:pPr>
    </w:p>
    <w:p w14:paraId="5C47FFD3" w14:textId="77777777" w:rsidR="00662408" w:rsidRDefault="00662408">
      <w:pPr>
        <w:pStyle w:val="Corpsdetexte"/>
        <w:rPr>
          <w:rFonts w:ascii="Times New Roman"/>
          <w:b w:val="0"/>
          <w:sz w:val="20"/>
        </w:rPr>
      </w:pPr>
    </w:p>
    <w:p w14:paraId="5C47FFD4" w14:textId="77777777" w:rsidR="00662408" w:rsidRDefault="00662408">
      <w:pPr>
        <w:pStyle w:val="Corpsdetexte"/>
        <w:rPr>
          <w:rFonts w:ascii="Times New Roman"/>
          <w:b w:val="0"/>
          <w:sz w:val="20"/>
        </w:rPr>
      </w:pPr>
    </w:p>
    <w:p w14:paraId="5C47FFD5" w14:textId="77777777" w:rsidR="00662408" w:rsidRDefault="00662408">
      <w:pPr>
        <w:pStyle w:val="Corpsdetexte"/>
        <w:rPr>
          <w:rFonts w:ascii="Times New Roman"/>
          <w:b w:val="0"/>
          <w:sz w:val="20"/>
        </w:rPr>
      </w:pPr>
    </w:p>
    <w:p w14:paraId="5C47FFD6" w14:textId="77777777" w:rsidR="00662408" w:rsidRDefault="00662408">
      <w:pPr>
        <w:pStyle w:val="Corpsdetexte"/>
        <w:rPr>
          <w:rFonts w:ascii="Times New Roman"/>
          <w:b w:val="0"/>
          <w:sz w:val="20"/>
        </w:rPr>
      </w:pPr>
    </w:p>
    <w:p w14:paraId="5C47FFD7" w14:textId="77777777" w:rsidR="00662408" w:rsidRDefault="00662408">
      <w:pPr>
        <w:pStyle w:val="Corpsdetexte"/>
        <w:rPr>
          <w:rFonts w:ascii="Times New Roman"/>
          <w:b w:val="0"/>
          <w:sz w:val="20"/>
        </w:rPr>
      </w:pPr>
    </w:p>
    <w:p w14:paraId="5C47FFD8" w14:textId="77777777" w:rsidR="00662408" w:rsidRDefault="00662408">
      <w:pPr>
        <w:pStyle w:val="Corpsdetexte"/>
        <w:rPr>
          <w:rFonts w:ascii="Times New Roman"/>
          <w:b w:val="0"/>
          <w:sz w:val="20"/>
        </w:rPr>
      </w:pPr>
    </w:p>
    <w:p w14:paraId="5C47FFD9" w14:textId="77777777" w:rsidR="00662408" w:rsidRDefault="00662408">
      <w:pPr>
        <w:pStyle w:val="Corpsdetexte"/>
        <w:rPr>
          <w:rFonts w:ascii="Times New Roman"/>
          <w:b w:val="0"/>
          <w:sz w:val="20"/>
        </w:rPr>
      </w:pPr>
    </w:p>
    <w:p w14:paraId="5C47FFDA" w14:textId="77777777" w:rsidR="00662408" w:rsidRDefault="00662408">
      <w:pPr>
        <w:pStyle w:val="Corpsdetexte"/>
        <w:rPr>
          <w:rFonts w:ascii="Times New Roman"/>
          <w:b w:val="0"/>
          <w:sz w:val="20"/>
        </w:rPr>
      </w:pPr>
    </w:p>
    <w:p w14:paraId="5C47FFDB" w14:textId="77777777" w:rsidR="00662408" w:rsidRDefault="00662408">
      <w:pPr>
        <w:pStyle w:val="Corpsdetexte"/>
        <w:rPr>
          <w:rFonts w:ascii="Times New Roman"/>
          <w:b w:val="0"/>
          <w:sz w:val="20"/>
        </w:rPr>
      </w:pPr>
    </w:p>
    <w:p w14:paraId="5C47FFDC" w14:textId="77777777" w:rsidR="00662408" w:rsidRDefault="00662408">
      <w:pPr>
        <w:pStyle w:val="Corpsdetexte"/>
        <w:rPr>
          <w:rFonts w:ascii="Times New Roman"/>
          <w:b w:val="0"/>
          <w:sz w:val="20"/>
        </w:rPr>
      </w:pPr>
    </w:p>
    <w:p w14:paraId="5C47FFDD" w14:textId="77777777" w:rsidR="00662408" w:rsidRDefault="00662408">
      <w:pPr>
        <w:pStyle w:val="Corpsdetexte"/>
        <w:rPr>
          <w:rFonts w:ascii="Times New Roman"/>
          <w:b w:val="0"/>
          <w:sz w:val="20"/>
        </w:rPr>
      </w:pPr>
    </w:p>
    <w:p w14:paraId="5C47FFDE" w14:textId="77777777" w:rsidR="00662408" w:rsidRDefault="00662408">
      <w:pPr>
        <w:pStyle w:val="Corpsdetexte"/>
        <w:rPr>
          <w:rFonts w:ascii="Times New Roman"/>
          <w:b w:val="0"/>
          <w:sz w:val="20"/>
        </w:rPr>
      </w:pPr>
    </w:p>
    <w:p w14:paraId="5C47FFDF" w14:textId="77777777" w:rsidR="00662408" w:rsidRDefault="00662408">
      <w:pPr>
        <w:pStyle w:val="Corpsdetexte"/>
        <w:rPr>
          <w:rFonts w:ascii="Times New Roman"/>
          <w:b w:val="0"/>
          <w:sz w:val="20"/>
        </w:rPr>
      </w:pPr>
    </w:p>
    <w:p w14:paraId="5C47FFE0" w14:textId="77777777" w:rsidR="00662408" w:rsidRDefault="00662408">
      <w:pPr>
        <w:pStyle w:val="Corpsdetexte"/>
        <w:rPr>
          <w:rFonts w:ascii="Times New Roman"/>
          <w:b w:val="0"/>
          <w:sz w:val="20"/>
        </w:rPr>
      </w:pPr>
    </w:p>
    <w:p w14:paraId="5C47FFE1" w14:textId="77777777" w:rsidR="00662408" w:rsidRDefault="00662408">
      <w:pPr>
        <w:pStyle w:val="Corpsdetexte"/>
        <w:rPr>
          <w:rFonts w:ascii="Times New Roman"/>
          <w:b w:val="0"/>
          <w:sz w:val="20"/>
        </w:rPr>
      </w:pPr>
    </w:p>
    <w:p w14:paraId="5C47FFE2" w14:textId="77777777" w:rsidR="00662408" w:rsidRDefault="00662408">
      <w:pPr>
        <w:pStyle w:val="Corpsdetexte"/>
        <w:rPr>
          <w:rFonts w:ascii="Times New Roman"/>
          <w:b w:val="0"/>
          <w:sz w:val="20"/>
        </w:rPr>
      </w:pPr>
    </w:p>
    <w:p w14:paraId="5C47FFE3" w14:textId="77777777" w:rsidR="00662408" w:rsidRDefault="00662408">
      <w:pPr>
        <w:pStyle w:val="Corpsdetexte"/>
        <w:rPr>
          <w:rFonts w:ascii="Times New Roman"/>
          <w:b w:val="0"/>
          <w:sz w:val="20"/>
        </w:rPr>
      </w:pPr>
    </w:p>
    <w:p w14:paraId="5C47FFE4" w14:textId="77777777" w:rsidR="00662408" w:rsidRDefault="00662408">
      <w:pPr>
        <w:pStyle w:val="Corpsdetexte"/>
        <w:rPr>
          <w:rFonts w:ascii="Times New Roman"/>
          <w:b w:val="0"/>
          <w:sz w:val="20"/>
        </w:rPr>
      </w:pPr>
    </w:p>
    <w:p w14:paraId="5C47FFE5" w14:textId="77777777" w:rsidR="00662408" w:rsidRDefault="00662408">
      <w:pPr>
        <w:pStyle w:val="Corpsdetexte"/>
        <w:spacing w:before="8"/>
        <w:rPr>
          <w:rFonts w:ascii="Times New Roman"/>
          <w:b w:val="0"/>
          <w:sz w:val="18"/>
        </w:rPr>
      </w:pPr>
    </w:p>
    <w:p w14:paraId="5C47FFE6" w14:textId="77777777" w:rsidR="00662408" w:rsidRDefault="00790DF7">
      <w:pPr>
        <w:spacing w:before="100"/>
        <w:ind w:left="4396" w:right="4436"/>
        <w:jc w:val="center"/>
        <w:rPr>
          <w:b/>
          <w:sz w:val="18"/>
        </w:rPr>
      </w:pPr>
      <w:r>
        <w:rPr>
          <w:b/>
          <w:sz w:val="18"/>
        </w:rPr>
        <w:t>211</w:t>
      </w:r>
    </w:p>
    <w:sectPr w:rsidR="00662408">
      <w:type w:val="continuous"/>
      <w:pgSz w:w="12240" w:h="20160"/>
      <w:pgMar w:top="1080" w:right="1540" w:bottom="280" w:left="1580" w:header="720" w:footer="720" w:gutter="0"/>
      <w:pgBorders w:offsetFrom="page">
        <w:top w:val="single" w:sz="18" w:space="24" w:color="000000"/>
        <w:left w:val="single" w:sz="18" w:space="24" w:color="000000"/>
        <w:bottom w:val="single" w:sz="18" w:space="24" w:color="000000"/>
        <w:right w:val="single" w:sz="18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284260"/>
    <w:multiLevelType w:val="hybridMultilevel"/>
    <w:tmpl w:val="3B76954C"/>
    <w:lvl w:ilvl="0" w:tplc="212ACDC6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BAD4D72C">
      <w:numFmt w:val="bullet"/>
      <w:lvlText w:val="•"/>
      <w:lvlJc w:val="left"/>
      <w:pPr>
        <w:ind w:left="1633" w:hanging="360"/>
      </w:pPr>
      <w:rPr>
        <w:rFonts w:hint="default"/>
      </w:rPr>
    </w:lvl>
    <w:lvl w:ilvl="2" w:tplc="68FE5D14">
      <w:numFmt w:val="bullet"/>
      <w:lvlText w:val="•"/>
      <w:lvlJc w:val="left"/>
      <w:pPr>
        <w:ind w:left="2427" w:hanging="360"/>
      </w:pPr>
      <w:rPr>
        <w:rFonts w:hint="default"/>
      </w:rPr>
    </w:lvl>
    <w:lvl w:ilvl="3" w:tplc="22A0B9D0">
      <w:numFmt w:val="bullet"/>
      <w:lvlText w:val="•"/>
      <w:lvlJc w:val="left"/>
      <w:pPr>
        <w:ind w:left="3220" w:hanging="360"/>
      </w:pPr>
      <w:rPr>
        <w:rFonts w:hint="default"/>
      </w:rPr>
    </w:lvl>
    <w:lvl w:ilvl="4" w:tplc="FC2836F2">
      <w:numFmt w:val="bullet"/>
      <w:lvlText w:val="•"/>
      <w:lvlJc w:val="left"/>
      <w:pPr>
        <w:ind w:left="4014" w:hanging="360"/>
      </w:pPr>
      <w:rPr>
        <w:rFonts w:hint="default"/>
      </w:rPr>
    </w:lvl>
    <w:lvl w:ilvl="5" w:tplc="38544450">
      <w:numFmt w:val="bullet"/>
      <w:lvlText w:val="•"/>
      <w:lvlJc w:val="left"/>
      <w:pPr>
        <w:ind w:left="4808" w:hanging="360"/>
      </w:pPr>
      <w:rPr>
        <w:rFonts w:hint="default"/>
      </w:rPr>
    </w:lvl>
    <w:lvl w:ilvl="6" w:tplc="1B9441E2">
      <w:numFmt w:val="bullet"/>
      <w:lvlText w:val="•"/>
      <w:lvlJc w:val="left"/>
      <w:pPr>
        <w:ind w:left="5601" w:hanging="360"/>
      </w:pPr>
      <w:rPr>
        <w:rFonts w:hint="default"/>
      </w:rPr>
    </w:lvl>
    <w:lvl w:ilvl="7" w:tplc="F04AFFD4">
      <w:numFmt w:val="bullet"/>
      <w:lvlText w:val="•"/>
      <w:lvlJc w:val="left"/>
      <w:pPr>
        <w:ind w:left="6395" w:hanging="360"/>
      </w:pPr>
      <w:rPr>
        <w:rFonts w:hint="default"/>
      </w:rPr>
    </w:lvl>
    <w:lvl w:ilvl="8" w:tplc="FE9064BE">
      <w:numFmt w:val="bullet"/>
      <w:lvlText w:val="•"/>
      <w:lvlJc w:val="left"/>
      <w:pPr>
        <w:ind w:left="718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408"/>
    <w:rsid w:val="00662408"/>
    <w:rsid w:val="0079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C47FFB4"/>
  <w15:docId w15:val="{B89D45F7-B6B7-4D51-A100-7EA78A21C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../customXml/item5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2 xmlns="96ec87de-764c-48ac-904b-43a4040775b8" xsi:nil="true"/>
    <fa31c4f9aa6744009edbff43f333efd4 xmlns="96ec87de-764c-48ac-904b-43a4040775b8">
      <Terms xmlns="http://schemas.microsoft.com/office/infopath/2007/PartnerControls">
        <TermInfo xmlns="http://schemas.microsoft.com/office/infopath/2007/PartnerControls">
          <TermName xmlns="http://schemas.microsoft.com/office/infopath/2007/PartnerControls">09-401 Qualité des soins, expérience patient, patient-partenaire, approche adaptée PA, interdisciplinarié</TermName>
          <TermId xmlns="http://schemas.microsoft.com/office/infopath/2007/PartnerControls">b9aa448d-3b3a-40d7-9208-1cc6780f4ba2</TermId>
        </TermInfo>
      </Terms>
    </fa31c4f9aa6744009edbff43f333efd4>
    <TaxCatchAll xmlns="96ec87de-764c-48ac-904b-43a4040775b8">
      <Value>89</Value>
    </TaxCatchAl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Nouveau document Word" ma:contentTypeID="0x0101009FD70BF8A304AB469A2CDABA28C2EC9A1600D480D378E843D94FA8F7C92F73D85F47" ma:contentTypeVersion="54" ma:contentTypeDescription="" ma:contentTypeScope="" ma:versionID="b178c3a22bc99ac57f778ae6a5829622">
  <xsd:schema xmlns:xsd="http://www.w3.org/2001/XMLSchema" xmlns:xs="http://www.w3.org/2001/XMLSchema" xmlns:p="http://schemas.microsoft.com/office/2006/metadata/properties" xmlns:ns2="96ec87de-764c-48ac-904b-43a4040775b8" targetNamespace="http://schemas.microsoft.com/office/2006/metadata/properties" ma:root="true" ma:fieldsID="d7a96fe19ef21d6a5bca3d652d290dcd" ns2:_="">
    <xsd:import namespace="96ec87de-764c-48ac-904b-43a4040775b8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fa31c4f9aa6744009edbff43f333efd4" minOccurs="0"/>
                <xsd:element ref="ns2:Description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c87de-764c-48ac-904b-43a4040775b8" elementFormDefault="qualified">
    <xsd:import namespace="http://schemas.microsoft.com/office/2006/documentManagement/types"/>
    <xsd:import namespace="http://schemas.microsoft.com/office/infopath/2007/PartnerControls"/>
    <xsd:element name="TaxCatchAll" ma:index="6" nillable="true" ma:displayName="Colonne Attraper tout de Taxonomie" ma:hidden="true" ma:list="{d5467fba-034b-4389-ba5b-270ac194c80d}" ma:internalName="TaxCatchAll" ma:showField="CatchAllData" ma:web="aa47b03e-98aa-433a-8fcf-ed979e5149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" nillable="true" ma:displayName="Colonne Attraper tout de Taxonomie1" ma:hidden="true" ma:list="{d5467fba-034b-4389-ba5b-270ac194c80d}" ma:internalName="TaxCatchAllLabel" ma:readOnly="true" ma:showField="CatchAllDataLabel" ma:web="aa47b03e-98aa-433a-8fcf-ed979e5149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a31c4f9aa6744009edbff43f333efd4" ma:index="10" nillable="true" ma:taxonomy="true" ma:internalName="fa31c4f9aa6744009edbff43f333efd4" ma:taxonomyFieldName="Plan_x0020_de_x0020_classification" ma:displayName="Plan de classification" ma:default="" ma:fieldId="{fa31c4f9-aa67-4400-9edb-ff43f333efd4}" ma:sspId="1a2f3d23-b3a6-43d8-ba2c-c487f1afcebf" ma:termSetId="e975e314-9e63-4d99-ab5e-3fd8ca572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scription2" ma:index="12" nillable="true" ma:displayName="Description" ma:internalName="Description2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ype de contenu"/>
        <xsd:element ref="dc:title" minOccurs="0" maxOccurs="1" ma:index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Nouveau document Word" ma:contentTypeID="0x0101009FD70BF8A304AB469A2CDABA28C2EC9A1600D480D378E843D94FA8F7C92F73D85F47" ma:contentTypeVersion="54" ma:contentTypeDescription="" ma:contentTypeScope="" ma:versionID="b178c3a22bc99ac57f778ae6a5829622">
  <xsd:schema xmlns:xsd="http://www.w3.org/2001/XMLSchema" xmlns:xs="http://www.w3.org/2001/XMLSchema" xmlns:p="http://schemas.microsoft.com/office/2006/metadata/properties" xmlns:ns2="96ec87de-764c-48ac-904b-43a4040775b8" targetNamespace="http://schemas.microsoft.com/office/2006/metadata/properties" ma:root="true" ma:fieldsID="d7a96fe19ef21d6a5bca3d652d290dcd" ns2:_="">
    <xsd:import namespace="96ec87de-764c-48ac-904b-43a4040775b8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fa31c4f9aa6744009edbff43f333efd4" minOccurs="0"/>
                <xsd:element ref="ns2:Description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c87de-764c-48ac-904b-43a4040775b8" elementFormDefault="qualified">
    <xsd:import namespace="http://schemas.microsoft.com/office/2006/documentManagement/types"/>
    <xsd:import namespace="http://schemas.microsoft.com/office/infopath/2007/PartnerControls"/>
    <xsd:element name="TaxCatchAll" ma:index="6" nillable="true" ma:displayName="Colonne Attraper tout de Taxonomie" ma:hidden="true" ma:list="{d5467fba-034b-4389-ba5b-270ac194c80d}" ma:internalName="TaxCatchAll" ma:showField="CatchAllData" ma:web="aa47b03e-98aa-433a-8fcf-ed979e5149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" nillable="true" ma:displayName="Colonne Attraper tout de Taxonomie1" ma:hidden="true" ma:list="{d5467fba-034b-4389-ba5b-270ac194c80d}" ma:internalName="TaxCatchAllLabel" ma:readOnly="true" ma:showField="CatchAllDataLabel" ma:web="aa47b03e-98aa-433a-8fcf-ed979e5149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a31c4f9aa6744009edbff43f333efd4" ma:index="10" nillable="true" ma:taxonomy="true" ma:internalName="fa31c4f9aa6744009edbff43f333efd4" ma:taxonomyFieldName="Plan_x0020_de_x0020_classification" ma:displayName="Plan de classification" ma:default="" ma:fieldId="{fa31c4f9-aa67-4400-9edb-ff43f333efd4}" ma:sspId="1a2f3d23-b3a6-43d8-ba2c-c487f1afcebf" ma:termSetId="e975e314-9e63-4d99-ab5e-3fd8ca572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scription2" ma:index="12" nillable="true" ma:displayName="Description" ma:internalName="Description2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ype de contenu"/>
        <xsd:element ref="dc:title" minOccurs="0" maxOccurs="1" ma:index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1a2f3d23-b3a6-43d8-ba2c-c487f1afcebf" ContentTypeId="0x0101009FD70BF8A304AB469A2CDABA28C2EC9A16" PreviousValue="false"/>
</file>

<file path=customXml/itemProps1.xml><?xml version="1.0" encoding="utf-8"?>
<ds:datastoreItem xmlns:ds="http://schemas.openxmlformats.org/officeDocument/2006/customXml" ds:itemID="{0B847820-C18D-47A0-B164-8A9429127A17}">
  <ds:schemaRefs>
    <ds:schemaRef ds:uri="http://purl.org/dc/terms/"/>
    <ds:schemaRef ds:uri="96ec87de-764c-48ac-904b-43a4040775b8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81F09F6-4BC5-4BB0-B07D-34A6CC48B1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8C9BD8-CE34-41FF-AB5B-7EED3EE4EA7E}"/>
</file>

<file path=customXml/itemProps4.xml><?xml version="1.0" encoding="utf-8"?>
<ds:datastoreItem xmlns:ds="http://schemas.openxmlformats.org/officeDocument/2006/customXml" ds:itemID="{F3AC995D-C92B-4879-8444-41A7DFD23C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ec87de-764c-48ac-904b-43a4040775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A7EE24F-445B-4DF4-855E-5060EDBA5B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CISSS des Laurentides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Joanie Cusson (CISSSLAU)</cp:lastModifiedBy>
  <cp:revision>2</cp:revision>
  <dcterms:created xsi:type="dcterms:W3CDTF">2023-11-02T13:15:00Z</dcterms:created>
  <dcterms:modified xsi:type="dcterms:W3CDTF">2023-11-02T13:15:00Z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PDFium</vt:lpwstr>
  </property>
  <property fmtid="{D5CDD505-2E9C-101B-9397-08002B2CF9AE}" pid="4" name="LastSaved">
    <vt:filetime>2023-10-20T00:00:00Z</vt:filetime>
  </property>
  <property fmtid="{D5CDD505-2E9C-101B-9397-08002B2CF9AE}" pid="5" name="Plan de classification">
    <vt:lpwstr>89;#09-401 Qualité des soins, expérience patient, patient-partenaire, approche adaptée PA, interdisciplinarié|b9aa448d-3b3a-40d7-9208-1cc6780f4ba2</vt:lpwstr>
  </property>
  <property fmtid="{D5CDD505-2E9C-101B-9397-08002B2CF9AE}" pid="6" name="ContentTypeId">
    <vt:lpwstr>0x0101009FD70BF8A304AB469A2CDABA28C2EC9A1600D480D378E843D94FA8F7C92F73D85F47</vt:lpwstr>
  </property>
  <property fmtid="{D5CDD505-2E9C-101B-9397-08002B2CF9AE}" pid="7" name="TaxKeyword">
    <vt:lpwstr/>
  </property>
  <property fmtid="{D5CDD505-2E9C-101B-9397-08002B2CF9AE}" pid="8" name="TaxKeywordTaxHTField">
    <vt:lpwstr/>
  </property>
</Properties>
</file>